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БИОЛОГИЯ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6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Доценко</w:t>
      </w:r>
      <w:proofErr w:type="spellEnd"/>
      <w:r w:rsidR="00AC279C">
        <w:rPr>
          <w:rFonts w:ascii="Liberation Serif" w:hAnsi="Liberation Serif" w:cs="Liberation Serif"/>
          <w:sz w:val="24"/>
          <w:szCs w:val="24"/>
          <w:u w:val="single"/>
        </w:rPr>
        <w:t xml:space="preserve"> В.Н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731"/>
        <w:gridCol w:w="5122"/>
        <w:gridCol w:w="4568"/>
      </w:tblGrid>
      <w:tr w:rsidR="001D4AA5" w:rsidRPr="00F442AE" w:rsidTr="00F94D9E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31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122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56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568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наблюдается.</w:t>
            </w:r>
          </w:p>
          <w:p w:rsidR="008264C3" w:rsidRPr="00F442AE" w:rsidRDefault="008264C3" w:rsidP="00AC279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Понизили оценку 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88,89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., подтвердили 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11,11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чел., повысили 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%.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22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568" w:type="dxa"/>
          </w:tcPr>
          <w:p w:rsidR="00597D99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Распределение по первичным баллам не гармоничное, сдвиг 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влево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в основном «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 и «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низкие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результаты. 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работы 43%. </w:t>
            </w:r>
          </w:p>
          <w:p w:rsidR="00B425DB" w:rsidRPr="00F442AE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Задани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е 4.3 (</w:t>
            </w:r>
            <w:r w:rsidR="00424C67">
              <w:rPr>
                <w:rFonts w:ascii="Roboto" w:hAnsi="Roboto"/>
                <w:sz w:val="21"/>
                <w:szCs w:val="21"/>
                <w:shd w:val="clear" w:color="auto" w:fill="FFFFFF"/>
              </w:rPr>
              <w:t>Правила работы в кабинете биологии, с биологическими приборами и инструментами.</w:t>
            </w:r>
            <w:proofErr w:type="gramEnd"/>
            <w:r w:rsidR="00424C67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 w:rsidR="00424C67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выполнили на 100%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proofErr w:type="gramEnd"/>
          </w:p>
          <w:p w:rsidR="00B425DB" w:rsidRPr="00F442AE" w:rsidRDefault="00B425DB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lastRenderedPageBreak/>
              <w:t>умения, сформированные на уровне ниже допустимого</w:t>
            </w:r>
          </w:p>
        </w:tc>
        <w:tc>
          <w:tcPr>
            <w:tcW w:w="2731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568" w:type="dxa"/>
          </w:tcPr>
          <w:p w:rsidR="00726464" w:rsidRPr="001F2639" w:rsidRDefault="001F263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2639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Выявлено несоответствие коридору решаемости</w:t>
            </w:r>
            <w:bookmarkStart w:id="0" w:name="_GoBack"/>
            <w:bookmarkEnd w:id="0"/>
            <w:r w:rsidRPr="001F2639">
              <w:rPr>
                <w:rFonts w:ascii="Liberation Serif" w:hAnsi="Liberation Serif" w:cs="Liberation Serif"/>
                <w:sz w:val="24"/>
                <w:szCs w:val="24"/>
              </w:rPr>
              <w:t xml:space="preserve"> в заданиях 1.2, 1.3, 6.2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568" w:type="dxa"/>
          </w:tcPr>
          <w:p w:rsidR="00B425DB" w:rsidRPr="00597D99" w:rsidRDefault="00597D99" w:rsidP="00F94D9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Средний пер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ичный балл 12,6, по сравнению с 5 классом (прошлый год) динамика  отрицательная, положительну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тметку за ВПР имеет 1 обучающийся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8 человек в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группе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риска.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68" w:type="dxa"/>
          </w:tcPr>
          <w:p w:rsidR="00B425DB" w:rsidRPr="00424C67" w:rsidRDefault="00B425DB" w:rsidP="00D54569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подготовки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(количество или </w:t>
            </w:r>
            <w:proofErr w:type="spellStart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пофамильно</w:t>
            </w:r>
            <w:proofErr w:type="spellEnd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22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затруднений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дефициты)</w:t>
            </w: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Меры коррекции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3 чел. 33,33%</w:t>
            </w:r>
          </w:p>
        </w:tc>
        <w:tc>
          <w:tcPr>
            <w:tcW w:w="5122" w:type="dxa"/>
          </w:tcPr>
          <w:p w:rsidR="00F94D9E" w:rsidRPr="00F94D9E" w:rsidRDefault="00F94D9E" w:rsidP="00F94D9E">
            <w:pPr>
              <w:pStyle w:val="a4"/>
              <w:numPr>
                <w:ilvl w:val="0"/>
                <w:numId w:val="14"/>
              </w:numPr>
              <w:ind w:left="85" w:firstLine="275"/>
              <w:jc w:val="both"/>
            </w:pPr>
            <w:r w:rsidRPr="00F94D9E">
              <w:t>Свойства живых организмов их проявление у растений. Жизнедеятельность цветковых растений.</w:t>
            </w:r>
          </w:p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2. Знать и понимать основные положения биологических теорий (клеточная, эволюционная теория Ч. Дарвина); учение </w:t>
            </w: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В.И. Вернадского о биосфере; сущность законов Г. Менделя, закономерностей изменчивости.</w:t>
            </w:r>
            <w:r w:rsidRPr="00F94D9E">
              <w:rPr>
                <w:rFonts w:ascii="Times New Roman" w:hAnsi="Times New Roman" w:cs="Times New Roman"/>
                <w:sz w:val="24"/>
                <w:szCs w:val="24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F94D9E">
              <w:rPr>
                <w:rFonts w:ascii="Times New Roman" w:hAnsi="Times New Roman" w:cs="Times New Roman"/>
                <w:sz w:val="24"/>
                <w:szCs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4 чел. – 44,44%</w:t>
            </w:r>
          </w:p>
        </w:tc>
        <w:tc>
          <w:tcPr>
            <w:tcW w:w="5122" w:type="dxa"/>
          </w:tcPr>
          <w:p w:rsidR="00F94D9E" w:rsidRPr="00F94D9E" w:rsidRDefault="00F94D9E" w:rsidP="00F94D9E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</w:pPr>
            <w:r w:rsidRPr="00F94D9E">
              <w:t>Биология как наука. Методы изучения живых организмов. Роль биологии в познании окружающего мира и практической деятельности людей.</w:t>
            </w:r>
            <w:r w:rsidRPr="00F94D9E">
              <w:br/>
              <w:t xml:space="preserve">Правила работы в кабинете биологии, с биологическими приборами и инструментами </w:t>
            </w:r>
            <w:r w:rsidRPr="00F94D9E"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среде.</w:t>
            </w:r>
          </w:p>
          <w:p w:rsidR="00F94D9E" w:rsidRPr="00F94D9E" w:rsidRDefault="00F94D9E" w:rsidP="00F94D9E">
            <w:pPr>
              <w:pStyle w:val="a4"/>
              <w:numPr>
                <w:ilvl w:val="0"/>
                <w:numId w:val="16"/>
              </w:numPr>
              <w:ind w:left="0" w:firstLine="360"/>
              <w:jc w:val="both"/>
            </w:pPr>
            <w:r w:rsidRPr="00F94D9E">
              <w:t xml:space="preserve">Условия обитания растений. Среды обитания растений. Среды обитания животных. Сезонные явления в жизни животных </w:t>
            </w:r>
            <w:r w:rsidRPr="00F94D9E">
              <w:br/>
              <w:t xml:space="preserve">Умение создавать, применять и преобразовывать знаки и символы, модели и схемы для решения учебных и познавательных </w:t>
            </w:r>
            <w:r w:rsidRPr="00F94D9E">
              <w:lastRenderedPageBreak/>
              <w:t>зада</w:t>
            </w: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2 чел.-22,22%</w:t>
            </w:r>
          </w:p>
        </w:tc>
        <w:tc>
          <w:tcPr>
            <w:tcW w:w="5122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Приемы выращивания, размножения растений и ухода за ними. Умение создавать, применять и преобразовывать знаки и символы, модели и схемы для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учебных и познавательных задач</w:t>
            </w: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22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94D9E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F94D9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61A14"/>
    <w:multiLevelType w:val="hybridMultilevel"/>
    <w:tmpl w:val="614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323227"/>
    <w:multiLevelType w:val="hybridMultilevel"/>
    <w:tmpl w:val="54CA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6053F"/>
    <w:multiLevelType w:val="hybridMultilevel"/>
    <w:tmpl w:val="9D4C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5497C"/>
    <w:rsid w:val="000D0717"/>
    <w:rsid w:val="000E5FD2"/>
    <w:rsid w:val="000F6FDF"/>
    <w:rsid w:val="001D4AA5"/>
    <w:rsid w:val="001F2639"/>
    <w:rsid w:val="002B205D"/>
    <w:rsid w:val="00302577"/>
    <w:rsid w:val="00351E6E"/>
    <w:rsid w:val="0035536D"/>
    <w:rsid w:val="00424C67"/>
    <w:rsid w:val="00470448"/>
    <w:rsid w:val="004C0C8A"/>
    <w:rsid w:val="00546CC0"/>
    <w:rsid w:val="00597D99"/>
    <w:rsid w:val="005B46F5"/>
    <w:rsid w:val="005C760A"/>
    <w:rsid w:val="005D7161"/>
    <w:rsid w:val="00615A6F"/>
    <w:rsid w:val="00670696"/>
    <w:rsid w:val="007248C4"/>
    <w:rsid w:val="00726464"/>
    <w:rsid w:val="0076107C"/>
    <w:rsid w:val="007C50DB"/>
    <w:rsid w:val="007D2640"/>
    <w:rsid w:val="007E6223"/>
    <w:rsid w:val="008264C3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C279C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81EE8"/>
    <w:rsid w:val="00EF4457"/>
    <w:rsid w:val="00F442AE"/>
    <w:rsid w:val="00F874E8"/>
    <w:rsid w:val="00F94D9E"/>
    <w:rsid w:val="00FA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40</cp:revision>
  <dcterms:created xsi:type="dcterms:W3CDTF">2018-12-12T11:09:00Z</dcterms:created>
  <dcterms:modified xsi:type="dcterms:W3CDTF">2020-12-23T06:33:00Z</dcterms:modified>
</cp:coreProperties>
</file>